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8F" w:rsidRPr="001560E9" w:rsidRDefault="006A6233" w:rsidP="001560E9">
      <w:pPr>
        <w:spacing w:before="100" w:beforeAutospacing="1" w:after="100" w:afterAutospacing="1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color w:val="252A37"/>
          <w:sz w:val="32"/>
          <w:szCs w:val="32"/>
          <w:lang w:eastAsia="ru-RU"/>
        </w:rPr>
      </w:pPr>
      <w:r w:rsidRPr="006A6233">
        <w:rPr>
          <w:rFonts w:ascii="Times New Roman" w:eastAsia="Times New Roman" w:hAnsi="Times New Roman" w:cs="Times New Roman"/>
          <w:b/>
          <w:noProof/>
          <w:color w:val="252A37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130175</wp:posOffset>
            </wp:positionV>
            <wp:extent cx="1057275" cy="768350"/>
            <wp:effectExtent l="0" t="0" r="0" b="0"/>
            <wp:wrapSquare wrapText="bothSides"/>
            <wp:docPr id="1" name="Рисунок 1" descr="D:\Desktop\ЭМБЛЕМЫ\ЦЕНТР ОБЩЕСТВЕННОГО ЗДОРО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ЭМБЛЕМЫ\ЦЕНТР ОБЩЕСТВЕННОГО ЗДОРО.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48F" w:rsidRPr="001560E9">
        <w:rPr>
          <w:rFonts w:ascii="Times New Roman" w:eastAsia="Times New Roman" w:hAnsi="Times New Roman" w:cs="Times New Roman"/>
          <w:b/>
          <w:color w:val="252A37"/>
          <w:sz w:val="32"/>
          <w:szCs w:val="32"/>
          <w:lang w:eastAsia="ru-RU"/>
        </w:rPr>
        <w:t>Суммарный сердечно-сосудистый риск</w:t>
      </w:r>
    </w:p>
    <w:p w:rsidR="009B7F11" w:rsidRPr="001560E9" w:rsidRDefault="009B7F11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После обследования врач или медсестра   вам сказали:</w:t>
      </w:r>
      <w:r w:rsidR="00F73B55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«Ваш суммарны</w:t>
      </w:r>
      <w:r w:rsidR="00577312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й сердечно-сосудистый риск 5%»,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</w:t>
      </w:r>
      <w:r w:rsidR="00577312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наряду со значениями артериального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давлени</w:t>
      </w:r>
      <w:r w:rsidR="00577312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я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, вес</w:t>
      </w:r>
      <w:r w:rsidR="00577312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а и другими это ещё одна важная цифра о вашем здоровье.</w:t>
      </w:r>
    </w:p>
    <w:p w:rsidR="009B7F11" w:rsidRPr="001560E9" w:rsidRDefault="001560E9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Что это за</w:t>
      </w:r>
      <w:r w:rsidR="009B7F11"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 xml:space="preserve"> показатель, </w:t>
      </w:r>
      <w:r w:rsidR="00F73B55"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цифра?</w:t>
      </w:r>
      <w:r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 xml:space="preserve"> 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Этот показатель рассчитывается по таблице, в которую врач или вы сами вносите свои показатели, и по их ком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плексу или сумме (поэтому риск 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и называется суммарным) рассчитывается риск, который в данном случаем составляет 5%.</w:t>
      </w:r>
    </w:p>
    <w:p w:rsidR="00F73B55" w:rsidRPr="001560E9" w:rsidRDefault="00577312" w:rsidP="00577312">
      <w:pPr>
        <w:pStyle w:val="a5"/>
        <w:spacing w:after="0" w:line="270" w:lineRule="atLeast"/>
        <w:ind w:left="-426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577312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Итак: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</w:t>
      </w:r>
      <w:r w:rsidR="00B2134E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В</w:t>
      </w:r>
      <w:r w:rsidR="001560E9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таблицу 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вносится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5 показателей</w:t>
      </w:r>
      <w:r w:rsidR="00F73B55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:</w:t>
      </w:r>
    </w:p>
    <w:p w:rsidR="00F73B55" w:rsidRPr="001560E9" w:rsidRDefault="00F73B55" w:rsidP="001560E9">
      <w:pPr>
        <w:pStyle w:val="a5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Пол</w:t>
      </w:r>
    </w:p>
    <w:p w:rsidR="00F73B55" w:rsidRPr="001560E9" w:rsidRDefault="00F73B55" w:rsidP="001560E9">
      <w:pPr>
        <w:pStyle w:val="a5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Возраст</w:t>
      </w:r>
    </w:p>
    <w:p w:rsidR="00F73B55" w:rsidRPr="001560E9" w:rsidRDefault="00F73B55" w:rsidP="001560E9">
      <w:pPr>
        <w:pStyle w:val="a5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Уровень артериального давления</w:t>
      </w:r>
    </w:p>
    <w:p w:rsidR="00F73B55" w:rsidRPr="001560E9" w:rsidRDefault="00F73B55" w:rsidP="001560E9">
      <w:pPr>
        <w:pStyle w:val="a5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Показатель общего холестерина крови</w:t>
      </w:r>
    </w:p>
    <w:p w:rsidR="00F73B55" w:rsidRPr="001560E9" w:rsidRDefault="00F73B55" w:rsidP="001560E9">
      <w:pPr>
        <w:pStyle w:val="a5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Наличие факта курения</w:t>
      </w:r>
    </w:p>
    <w:p w:rsidR="009B7F11" w:rsidRPr="001560E9" w:rsidRDefault="009B7F11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Этот показатель означает: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вероятность (риск)</w:t>
      </w:r>
      <w:r w:rsidR="00F73B55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наступления смерти в течение ближайших 10 лет только от двух причин: инсульта и инфаркта миокарда. </w:t>
      </w:r>
    </w:p>
    <w:p w:rsidR="009B7F11" w:rsidRPr="001560E9" w:rsidRDefault="00F73B55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Безусловно, это оценочные данные, некая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математическая модель. Но дело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в том, что эта модель подтвердила себя во многих очень больших исследованиях, в которых за сотнями тысяч людей наблюдали в течение десят</w:t>
      </w:r>
      <w:r w:rsidR="00B2134E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ка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лет. 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 xml:space="preserve">Как относиться к этому показателю? 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Этот риск может б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ыть 1%- что</w:t>
      </w:r>
      <w:r w:rsidR="00B2134E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,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очень здорово, или 4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0% - что</w:t>
      </w:r>
      <w:r w:rsidR="00B2134E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,</w:t>
      </w:r>
      <w:r w:rsidR="009B7F11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очень грустно. Если вам назвали цифру 5%, такова вероятность для вас.</w:t>
      </w:r>
    </w:p>
    <w:p w:rsidR="00F73B55" w:rsidRPr="001560E9" w:rsidRDefault="00F73B55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Так что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,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отнеситесь к 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этому серьезно. Если у соседки 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«риск 5%», а у вас «35%», рекомендуем об этом серьезно задуматься. </w:t>
      </w:r>
      <w:r w:rsidR="00D6143B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Когда какое-то явление выражено в цифре, медики уверены в том, что это звучит убедительнее. Считается, что риск выше 5% - высокий, а 10% - очень высокий.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Как можно уменьшить свой суммарный сердечно-сосудистый риск?</w:t>
      </w:r>
    </w:p>
    <w:p w:rsidR="00F73B55" w:rsidRPr="001560E9" w:rsidRDefault="00F73B55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Посмотрите внимательно на таблицу. У мужчин риск при прочих равных условиях риск выше. Передвинуться по таблице в более благоприятный «отсек» можно любым способом- снижая уровень </w:t>
      </w:r>
      <w:r w:rsidR="00F60C96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давления, холестерина крови, или бросив курить. Выбирайте, что для вас проще и удобнее. </w:t>
      </w:r>
      <w:r w:rsidR="00D6143B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В этом и заключается определенная «хитрость» этой модели.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Как быстро снизится риск или как быстро вы «переместитесь» в таблице из ярко красной</w:t>
      </w:r>
      <w:r w:rsidR="00577312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 xml:space="preserve"> или коричневой</w:t>
      </w: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 xml:space="preserve"> опасной зоны в более благоприятную желтую?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Безусловно, все индивидуально. Но через год-два после отказа от курения, нормализации артериального давления или уровня холестерина, ваш риск будет значительно ниже.</w:t>
      </w:r>
    </w:p>
    <w:p w:rsidR="006A6233" w:rsidRDefault="006A6233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</w:p>
    <w:p w:rsidR="006A6233" w:rsidRDefault="006A6233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b/>
          <w:color w:val="252A37"/>
          <w:sz w:val="26"/>
          <w:szCs w:val="26"/>
          <w:lang w:eastAsia="ru-RU"/>
        </w:rPr>
        <w:t>Что еще надо знать?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Если у вас есть сахарный диабет, рекомендуем вам сразу отнести себя к пациентам «высокого суммарного сердечно-сосудистого риска» и серьезно задуматься. В этом случае отказ от курения, контроль давления и холестерина должны быть незамедлительными.</w:t>
      </w:r>
    </w:p>
    <w:p w:rsidR="00D6143B" w:rsidRPr="001560E9" w:rsidRDefault="00D6143B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При избыточной массе тела (индекс массы тела выше 25), низкой физической активн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о</w:t>
      </w: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сти (если вы не двигаетесь более 2.5 часов в неделю)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, вы смело можете «передвинуть» себя на 1-2 клеточки в более опасную зону. Такой вывод уже 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сделан, </w:t>
      </w:r>
      <w:r w:rsidR="00577312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но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таблица была бы 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менее удобна для использования.</w:t>
      </w:r>
    </w:p>
    <w:p w:rsidR="008D548F" w:rsidRPr="001560E9" w:rsidRDefault="00577312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9E547E" wp14:editId="2E1C2145">
            <wp:simplePos x="0" y="0"/>
            <wp:positionH relativeFrom="column">
              <wp:posOffset>-356870</wp:posOffset>
            </wp:positionH>
            <wp:positionV relativeFrom="paragraph">
              <wp:posOffset>953770</wp:posOffset>
            </wp:positionV>
            <wp:extent cx="6510020" cy="4914900"/>
            <wp:effectExtent l="0" t="0" r="0" b="0"/>
            <wp:wrapSquare wrapText="bothSides"/>
            <wp:docPr id="2" name="Рисунок 2" descr="https://static.tildacdn.com/tild3530-6639-4638-b632-346164643338/s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530-6639-4638-b632-346164643338/sco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1592" r="1536" b="4483"/>
                    <a:stretch/>
                  </pic:blipFill>
                  <pic:spPr bwMode="auto">
                    <a:xfrm>
                      <a:off x="0" y="0"/>
                      <a:ext cx="651002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С учетом всех данных т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аблица 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«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работает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»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для лиц старше 40 лет. Если вы моложе, посмотрите на маленькую 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шкалу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«относительного сердечно-сосуд</w:t>
      </w:r>
      <w:r w:rsid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истого риска». И сравните ваши </w:t>
      </w:r>
      <w:r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опасности</w:t>
      </w:r>
      <w:r w:rsidR="008D548F"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 xml:space="preserve"> в зависимости от наличия факторов риска.</w:t>
      </w:r>
    </w:p>
    <w:p w:rsidR="00577312" w:rsidRDefault="00577312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</w:p>
    <w:p w:rsidR="008D548F" w:rsidRPr="001560E9" w:rsidRDefault="008D548F" w:rsidP="001560E9">
      <w:pPr>
        <w:spacing w:before="100" w:beforeAutospacing="1" w:after="100" w:afterAutospacing="1" w:line="270" w:lineRule="atLeast"/>
        <w:ind w:left="-567" w:firstLine="425"/>
        <w:jc w:val="both"/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</w:pPr>
      <w:r w:rsidRPr="001560E9">
        <w:rPr>
          <w:rFonts w:ascii="Times New Roman" w:eastAsia="Times New Roman" w:hAnsi="Times New Roman" w:cs="Times New Roman"/>
          <w:color w:val="252A37"/>
          <w:sz w:val="26"/>
          <w:szCs w:val="26"/>
          <w:lang w:eastAsia="ru-RU"/>
        </w:rPr>
        <w:t>Будьте здоровы!</w:t>
      </w:r>
      <w:r w:rsidR="00577312" w:rsidRPr="00577312">
        <w:rPr>
          <w:noProof/>
          <w:lang w:eastAsia="ru-RU"/>
        </w:rPr>
        <w:t xml:space="preserve"> </w:t>
      </w:r>
    </w:p>
    <w:p w:rsidR="00DA286C" w:rsidRPr="006A6233" w:rsidRDefault="00AC0798" w:rsidP="001560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A6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Начните работу по снижению у вас суммарного сердечно-сосудистого риска сегодня! И вы подарите себе несколько лет активной жизни!</w:t>
      </w:r>
    </w:p>
    <w:sectPr w:rsidR="00DA286C" w:rsidRPr="006A6233" w:rsidSect="001560E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E4489"/>
    <w:multiLevelType w:val="hybridMultilevel"/>
    <w:tmpl w:val="02388D3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86C"/>
    <w:rsid w:val="001560E9"/>
    <w:rsid w:val="003C5B2B"/>
    <w:rsid w:val="00517C53"/>
    <w:rsid w:val="00577312"/>
    <w:rsid w:val="006557FB"/>
    <w:rsid w:val="00662737"/>
    <w:rsid w:val="006A3117"/>
    <w:rsid w:val="006A6233"/>
    <w:rsid w:val="0078315E"/>
    <w:rsid w:val="008D548F"/>
    <w:rsid w:val="0094714D"/>
    <w:rsid w:val="0095702A"/>
    <w:rsid w:val="009B7F11"/>
    <w:rsid w:val="00AC0798"/>
    <w:rsid w:val="00B2134E"/>
    <w:rsid w:val="00D6143B"/>
    <w:rsid w:val="00DA286C"/>
    <w:rsid w:val="00F60C96"/>
    <w:rsid w:val="00F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55493-5ABF-4535-853F-29536303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036">
                              <w:marLeft w:val="0"/>
                              <w:marRight w:val="4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8</cp:revision>
  <dcterms:created xsi:type="dcterms:W3CDTF">2022-06-09T19:53:00Z</dcterms:created>
  <dcterms:modified xsi:type="dcterms:W3CDTF">2022-06-28T09:21:00Z</dcterms:modified>
</cp:coreProperties>
</file>